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D1D" w:rsidRPr="002F75A8" w:rsidRDefault="00382D1D" w:rsidP="00F203C8">
      <w:pPr>
        <w:bidi w:val="0"/>
        <w:spacing w:after="0" w:line="240" w:lineRule="auto"/>
        <w:rPr>
          <w:rFonts w:cs="Times New Roman"/>
          <w:b/>
          <w:bCs/>
          <w:iCs/>
          <w:u w:val="single"/>
        </w:rPr>
      </w:pPr>
      <w:bookmarkStart w:id="0" w:name="_GoBack"/>
      <w:bookmarkEnd w:id="0"/>
      <w:r w:rsidRPr="002F75A8">
        <w:rPr>
          <w:rFonts w:cs="Times New Roman"/>
          <w:b/>
          <w:bCs/>
          <w:iCs/>
          <w:u w:val="single"/>
        </w:rPr>
        <w:t>OMITTED PAGES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7200"/>
      </w:tblGrid>
      <w:tr w:rsidR="00382D1D" w:rsidRPr="00A24CDF" w:rsidTr="006C20BB">
        <w:tc>
          <w:tcPr>
            <w:tcW w:w="1548" w:type="dxa"/>
          </w:tcPr>
          <w:p w:rsidR="00382D1D" w:rsidRPr="00A24CDF" w:rsidRDefault="00382D1D" w:rsidP="00923C30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A24CDF">
              <w:rPr>
                <w:b/>
                <w:bCs/>
              </w:rPr>
              <w:t>Chapter</w:t>
            </w:r>
          </w:p>
        </w:tc>
        <w:tc>
          <w:tcPr>
            <w:tcW w:w="7200" w:type="dxa"/>
          </w:tcPr>
          <w:p w:rsidR="00382D1D" w:rsidRPr="00A24CDF" w:rsidRDefault="00382D1D" w:rsidP="00923C30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A24CDF">
              <w:rPr>
                <w:b/>
                <w:bCs/>
              </w:rPr>
              <w:t>Omitted Pages</w:t>
            </w:r>
          </w:p>
        </w:tc>
      </w:tr>
      <w:tr w:rsidR="00382D1D" w:rsidRPr="00A24CDF" w:rsidTr="006C20BB">
        <w:tc>
          <w:tcPr>
            <w:tcW w:w="1548" w:type="dxa"/>
          </w:tcPr>
          <w:p w:rsidR="00382D1D" w:rsidRPr="00A24CDF" w:rsidRDefault="00382D1D" w:rsidP="00F203C8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A24CDF">
              <w:rPr>
                <w:b/>
                <w:bCs/>
              </w:rPr>
              <w:t>Ch. 2</w:t>
            </w:r>
          </w:p>
        </w:tc>
        <w:tc>
          <w:tcPr>
            <w:tcW w:w="7200" w:type="dxa"/>
          </w:tcPr>
          <w:p w:rsidR="00382D1D" w:rsidRDefault="00382D1D" w:rsidP="00923C30">
            <w:pPr>
              <w:bidi w:val="0"/>
              <w:spacing w:after="0" w:line="240" w:lineRule="auto"/>
            </w:pPr>
            <w:r w:rsidRPr="00A24CDF">
              <w:t xml:space="preserve">P. </w:t>
            </w:r>
            <w:r w:rsidR="00C25EC5">
              <w:t>3</w:t>
            </w:r>
            <w:r w:rsidR="00923C30">
              <w:t>6</w:t>
            </w:r>
            <w:r w:rsidR="00C25EC5">
              <w:t xml:space="preserve">: Diagnosing cost behavior with </w:t>
            </w:r>
            <w:proofErr w:type="spellStart"/>
            <w:r w:rsidR="00C25EC5">
              <w:t>scattergraph</w:t>
            </w:r>
            <w:proofErr w:type="spellEnd"/>
            <w:r w:rsidR="00C25EC5">
              <w:t xml:space="preserve"> plot</w:t>
            </w:r>
          </w:p>
          <w:p w:rsidR="00C25EC5" w:rsidRDefault="00C25EC5" w:rsidP="00923C30">
            <w:pPr>
              <w:bidi w:val="0"/>
              <w:spacing w:after="0" w:line="240" w:lineRule="auto"/>
            </w:pPr>
            <w:r w:rsidRPr="00A24CDF">
              <w:t xml:space="preserve">P. </w:t>
            </w:r>
            <w:r>
              <w:t>4</w:t>
            </w:r>
            <w:r w:rsidR="00923C30">
              <w:t>4</w:t>
            </w:r>
            <w:r>
              <w:t>: Differential cost and revenue</w:t>
            </w:r>
          </w:p>
          <w:p w:rsidR="00C25EC5" w:rsidRPr="00A24CDF" w:rsidRDefault="00C25EC5" w:rsidP="00F203C8">
            <w:pPr>
              <w:bidi w:val="0"/>
              <w:spacing w:after="0" w:line="240" w:lineRule="auto"/>
            </w:pPr>
            <w:r>
              <w:t>PP. 67 -82</w:t>
            </w:r>
          </w:p>
        </w:tc>
      </w:tr>
      <w:tr w:rsidR="00382D1D" w:rsidRPr="00A24CDF" w:rsidTr="006C20BB">
        <w:tc>
          <w:tcPr>
            <w:tcW w:w="1548" w:type="dxa"/>
          </w:tcPr>
          <w:p w:rsidR="00382D1D" w:rsidRPr="006A7D0F" w:rsidRDefault="00382D1D" w:rsidP="00F203C8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6A7D0F">
              <w:rPr>
                <w:rFonts w:asciiTheme="minorHAnsi" w:hAnsiTheme="minorHAnsi" w:cs="Arial"/>
                <w:sz w:val="22"/>
                <w:szCs w:val="22"/>
              </w:rPr>
              <w:t xml:space="preserve">Ch. </w:t>
            </w:r>
            <w:r w:rsidR="002D0A34" w:rsidRPr="006A7D0F">
              <w:rPr>
                <w:rFonts w:asciiTheme="minorHAnsi" w:hAnsiTheme="minorHAnsi" w:cs="Arial"/>
                <w:sz w:val="22"/>
                <w:szCs w:val="22"/>
              </w:rPr>
              <w:t>12</w:t>
            </w:r>
          </w:p>
        </w:tc>
        <w:tc>
          <w:tcPr>
            <w:tcW w:w="7200" w:type="dxa"/>
          </w:tcPr>
          <w:p w:rsidR="00382D1D" w:rsidRPr="00B63D69" w:rsidRDefault="002D0A34" w:rsidP="007C066F">
            <w:pPr>
              <w:bidi w:val="0"/>
              <w:spacing w:after="0" w:line="240" w:lineRule="auto"/>
            </w:pPr>
            <w:r w:rsidRPr="00B63D69">
              <w:t>PP. 5</w:t>
            </w:r>
            <w:r w:rsidR="007C066F" w:rsidRPr="00B63D69">
              <w:t>42</w:t>
            </w:r>
            <w:r w:rsidRPr="00B63D69">
              <w:t xml:space="preserve"> – 5</w:t>
            </w:r>
            <w:r w:rsidR="007C066F" w:rsidRPr="00B63D69">
              <w:t>44</w:t>
            </w:r>
          </w:p>
          <w:p w:rsidR="002D0A34" w:rsidRPr="00A24CDF" w:rsidRDefault="002D0A34" w:rsidP="00923C30">
            <w:pPr>
              <w:bidi w:val="0"/>
              <w:spacing w:after="0" w:line="240" w:lineRule="auto"/>
            </w:pPr>
            <w:r w:rsidRPr="00A24CDF">
              <w:t xml:space="preserve">P. </w:t>
            </w:r>
            <w:r>
              <w:t>5</w:t>
            </w:r>
            <w:r w:rsidR="00923C30">
              <w:t>62</w:t>
            </w:r>
            <w:r>
              <w:t>: Activity based costing and relevant costs</w:t>
            </w:r>
          </w:p>
        </w:tc>
      </w:tr>
      <w:tr w:rsidR="00382D1D" w:rsidRPr="00A24CDF" w:rsidTr="006C20BB">
        <w:tc>
          <w:tcPr>
            <w:tcW w:w="1548" w:type="dxa"/>
          </w:tcPr>
          <w:p w:rsidR="00382D1D" w:rsidRPr="006A7D0F" w:rsidRDefault="006A7D0F" w:rsidP="00F203C8">
            <w:pPr>
              <w:pStyle w:val="Heading1"/>
              <w:rPr>
                <w:rFonts w:asciiTheme="minorHAnsi" w:hAnsiTheme="minorHAnsi" w:cs="Arial"/>
                <w:sz w:val="22"/>
                <w:szCs w:val="22"/>
              </w:rPr>
            </w:pPr>
            <w:r w:rsidRPr="006A7D0F">
              <w:rPr>
                <w:rFonts w:asciiTheme="minorHAnsi" w:hAnsiTheme="minorHAnsi"/>
                <w:sz w:val="22"/>
                <w:szCs w:val="22"/>
              </w:rPr>
              <w:t>Appendix A</w:t>
            </w:r>
          </w:p>
        </w:tc>
        <w:tc>
          <w:tcPr>
            <w:tcW w:w="7200" w:type="dxa"/>
          </w:tcPr>
          <w:p w:rsidR="00382D1D" w:rsidRPr="00A24CDF" w:rsidRDefault="006A7D0F" w:rsidP="00923C30">
            <w:pPr>
              <w:bidi w:val="0"/>
              <w:spacing w:after="0" w:line="240" w:lineRule="auto"/>
            </w:pPr>
            <w:r w:rsidRPr="00A24CDF">
              <w:t>P</w:t>
            </w:r>
            <w:r>
              <w:t>P</w:t>
            </w:r>
            <w:r w:rsidRPr="00A24CDF">
              <w:t>.</w:t>
            </w:r>
            <w:r>
              <w:t xml:space="preserve"> 7</w:t>
            </w:r>
            <w:r w:rsidR="00923C30">
              <w:t>2</w:t>
            </w:r>
            <w:r>
              <w:t>5 – 7</w:t>
            </w:r>
            <w:r w:rsidR="00923C30">
              <w:t>2</w:t>
            </w:r>
            <w:r>
              <w:t>7</w:t>
            </w:r>
          </w:p>
        </w:tc>
      </w:tr>
      <w:tr w:rsidR="00382D1D" w:rsidRPr="00A24CDF" w:rsidTr="006C20BB">
        <w:tc>
          <w:tcPr>
            <w:tcW w:w="1548" w:type="dxa"/>
          </w:tcPr>
          <w:p w:rsidR="00382D1D" w:rsidRPr="00A24CDF" w:rsidRDefault="00382D1D" w:rsidP="00F203C8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A24CDF">
              <w:rPr>
                <w:b/>
                <w:bCs/>
              </w:rPr>
              <w:t>Ch. 1</w:t>
            </w:r>
            <w:r w:rsidR="00014487">
              <w:rPr>
                <w:b/>
                <w:bCs/>
              </w:rPr>
              <w:t>1 and</w:t>
            </w:r>
            <w:r w:rsidR="00014487">
              <w:t xml:space="preserve"> </w:t>
            </w:r>
            <w:r w:rsidR="00014487" w:rsidRPr="00014487">
              <w:rPr>
                <w:b/>
                <w:bCs/>
              </w:rPr>
              <w:t>Appendix 11A</w:t>
            </w:r>
          </w:p>
        </w:tc>
        <w:tc>
          <w:tcPr>
            <w:tcW w:w="7200" w:type="dxa"/>
          </w:tcPr>
          <w:p w:rsidR="00382D1D" w:rsidRPr="00A24CDF" w:rsidRDefault="00014487" w:rsidP="00923C30">
            <w:pPr>
              <w:bidi w:val="0"/>
              <w:spacing w:after="0" w:line="240" w:lineRule="auto"/>
            </w:pPr>
            <w:r w:rsidRPr="00A24CDF">
              <w:t>P</w:t>
            </w:r>
            <w:r>
              <w:t>P</w:t>
            </w:r>
            <w:r w:rsidRPr="00A24CDF">
              <w:t>.</w:t>
            </w:r>
            <w:r>
              <w:t xml:space="preserve"> 4</w:t>
            </w:r>
            <w:r w:rsidR="00923C30">
              <w:t>92</w:t>
            </w:r>
            <w:r>
              <w:t xml:space="preserve"> – </w:t>
            </w:r>
            <w:r w:rsidR="00923C30">
              <w:t>501</w:t>
            </w:r>
            <w:r>
              <w:t xml:space="preserve"> and Appendix 11B</w:t>
            </w:r>
          </w:p>
        </w:tc>
      </w:tr>
      <w:tr w:rsidR="00382D1D" w:rsidRPr="00A24CDF" w:rsidTr="006C20BB">
        <w:tc>
          <w:tcPr>
            <w:tcW w:w="1548" w:type="dxa"/>
          </w:tcPr>
          <w:p w:rsidR="00382D1D" w:rsidRPr="00A24CDF" w:rsidRDefault="00382D1D" w:rsidP="00F203C8">
            <w:pPr>
              <w:bidi w:val="0"/>
              <w:spacing w:after="0" w:line="240" w:lineRule="auto"/>
              <w:jc w:val="center"/>
              <w:rPr>
                <w:b/>
                <w:bCs/>
              </w:rPr>
            </w:pPr>
            <w:r w:rsidRPr="00A24CDF">
              <w:rPr>
                <w:b/>
                <w:bCs/>
              </w:rPr>
              <w:t>Ch. 1</w:t>
            </w:r>
            <w:r w:rsidR="00F203C8">
              <w:rPr>
                <w:b/>
                <w:bCs/>
              </w:rPr>
              <w:t>3</w:t>
            </w:r>
          </w:p>
        </w:tc>
        <w:tc>
          <w:tcPr>
            <w:tcW w:w="7200" w:type="dxa"/>
          </w:tcPr>
          <w:p w:rsidR="00F203C8" w:rsidRDefault="00F203C8" w:rsidP="00923C30">
            <w:pPr>
              <w:bidi w:val="0"/>
              <w:spacing w:after="0" w:line="240" w:lineRule="auto"/>
            </w:pPr>
            <w:r>
              <w:t>pp. 59</w:t>
            </w:r>
            <w:r w:rsidR="00923C30">
              <w:t>8</w:t>
            </w:r>
            <w:r>
              <w:t>-6</w:t>
            </w:r>
            <w:r w:rsidR="00923C30">
              <w:t>00</w:t>
            </w:r>
            <w:r>
              <w:t xml:space="preserve"> ( </w:t>
            </w:r>
            <w:r w:rsidR="00923C30">
              <w:t>T</w:t>
            </w:r>
            <w:r>
              <w:t>he internal rate of return</w:t>
            </w:r>
            <w:r w:rsidR="00923C30">
              <w:t xml:space="preserve"> method</w:t>
            </w:r>
            <w:r>
              <w:t>)</w:t>
            </w:r>
          </w:p>
          <w:p w:rsidR="00F203C8" w:rsidRPr="005457C0" w:rsidRDefault="00F203C8" w:rsidP="00923C30">
            <w:pPr>
              <w:bidi w:val="0"/>
              <w:spacing w:after="0" w:line="240" w:lineRule="auto"/>
              <w:rPr>
                <w:rFonts w:asciiTheme="minorHAnsi" w:hAnsiTheme="minorHAnsi"/>
              </w:rPr>
            </w:pPr>
            <w:r w:rsidRPr="005457C0">
              <w:rPr>
                <w:rFonts w:asciiTheme="minorHAnsi" w:hAnsiTheme="minorHAnsi"/>
              </w:rPr>
              <w:t xml:space="preserve">p. </w:t>
            </w:r>
            <w:r w:rsidR="00923C30" w:rsidRPr="005457C0">
              <w:rPr>
                <w:rFonts w:asciiTheme="minorHAnsi" w:hAnsiTheme="minorHAnsi"/>
              </w:rPr>
              <w:t>604</w:t>
            </w:r>
            <w:r w:rsidRPr="005457C0">
              <w:rPr>
                <w:rFonts w:asciiTheme="minorHAnsi" w:hAnsiTheme="minorHAnsi"/>
              </w:rPr>
              <w:t xml:space="preserve"> (</w:t>
            </w:r>
            <w:r w:rsidR="00923C30" w:rsidRPr="005457C0">
              <w:rPr>
                <w:rFonts w:asciiTheme="minorHAnsi" w:hAnsiTheme="minorHAnsi"/>
              </w:rPr>
              <w:t>U</w:t>
            </w:r>
            <w:r w:rsidRPr="005457C0">
              <w:rPr>
                <w:rFonts w:asciiTheme="minorHAnsi" w:hAnsiTheme="minorHAnsi"/>
              </w:rPr>
              <w:t xml:space="preserve">ncertain cash flows) </w:t>
            </w:r>
          </w:p>
          <w:p w:rsidR="00F203C8" w:rsidRPr="005457C0" w:rsidRDefault="00F203C8" w:rsidP="00923C30">
            <w:pPr>
              <w:bidi w:val="0"/>
              <w:spacing w:after="0" w:line="240" w:lineRule="auto"/>
              <w:rPr>
                <w:rFonts w:asciiTheme="minorHAnsi" w:hAnsiTheme="minorHAnsi"/>
              </w:rPr>
            </w:pPr>
            <w:r w:rsidRPr="005457C0">
              <w:rPr>
                <w:rFonts w:asciiTheme="minorHAnsi" w:hAnsiTheme="minorHAnsi"/>
              </w:rPr>
              <w:t>pp. 6</w:t>
            </w:r>
            <w:r w:rsidR="00923C30" w:rsidRPr="005457C0">
              <w:rPr>
                <w:rFonts w:asciiTheme="minorHAnsi" w:hAnsiTheme="minorHAnsi"/>
              </w:rPr>
              <w:t>12</w:t>
            </w:r>
            <w:r w:rsidRPr="005457C0">
              <w:rPr>
                <w:rFonts w:asciiTheme="minorHAnsi" w:hAnsiTheme="minorHAnsi"/>
              </w:rPr>
              <w:t>-6</w:t>
            </w:r>
            <w:r w:rsidR="00923C30" w:rsidRPr="005457C0">
              <w:rPr>
                <w:rFonts w:asciiTheme="minorHAnsi" w:hAnsiTheme="minorHAnsi"/>
              </w:rPr>
              <w:t>13</w:t>
            </w:r>
            <w:r w:rsidRPr="005457C0">
              <w:rPr>
                <w:rFonts w:asciiTheme="minorHAnsi" w:hAnsiTheme="minorHAnsi"/>
              </w:rPr>
              <w:t xml:space="preserve"> (</w:t>
            </w:r>
            <w:proofErr w:type="spellStart"/>
            <w:r w:rsidR="00923C30" w:rsidRPr="005457C0">
              <w:rPr>
                <w:rFonts w:asciiTheme="minorHAnsi" w:hAnsiTheme="minorHAnsi"/>
              </w:rPr>
              <w:t>P</w:t>
            </w:r>
            <w:r w:rsidRPr="005457C0">
              <w:rPr>
                <w:rFonts w:asciiTheme="minorHAnsi" w:hAnsiTheme="minorHAnsi"/>
              </w:rPr>
              <w:t>ostaudit</w:t>
            </w:r>
            <w:proofErr w:type="spellEnd"/>
            <w:r w:rsidRPr="005457C0">
              <w:rPr>
                <w:rFonts w:asciiTheme="minorHAnsi" w:hAnsiTheme="minorHAnsi"/>
              </w:rPr>
              <w:t xml:space="preserve"> of investment projects)</w:t>
            </w:r>
          </w:p>
          <w:p w:rsidR="00382D1D" w:rsidRPr="00B63D69" w:rsidRDefault="005457C0" w:rsidP="00F203C8">
            <w:pPr>
              <w:bidi w:val="0"/>
              <w:spacing w:after="0" w:line="240" w:lineRule="auto"/>
            </w:pPr>
            <w:r w:rsidRPr="00B63D69">
              <w:rPr>
                <w:rFonts w:asciiTheme="minorHAnsi" w:eastAsia="Times New Roman" w:hAnsiTheme="minorHAnsi" w:cs="Tahoma"/>
              </w:rPr>
              <w:t>Appendix 13-A and 13-C</w:t>
            </w:r>
          </w:p>
        </w:tc>
      </w:tr>
    </w:tbl>
    <w:p w:rsidR="00E2116B" w:rsidRDefault="00E2116B" w:rsidP="00F203C8">
      <w:pPr>
        <w:bidi w:val="0"/>
        <w:spacing w:after="0" w:line="240" w:lineRule="auto"/>
      </w:pPr>
    </w:p>
    <w:sectPr w:rsidR="00E2116B" w:rsidSect="00E2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F51D4"/>
    <w:multiLevelType w:val="hybridMultilevel"/>
    <w:tmpl w:val="6EE02034"/>
    <w:lvl w:ilvl="0" w:tplc="E788F8A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1D"/>
    <w:rsid w:val="00014487"/>
    <w:rsid w:val="0006020E"/>
    <w:rsid w:val="002002F6"/>
    <w:rsid w:val="002B4565"/>
    <w:rsid w:val="002D0A34"/>
    <w:rsid w:val="00382D1D"/>
    <w:rsid w:val="005457C0"/>
    <w:rsid w:val="006A7D0F"/>
    <w:rsid w:val="007461F0"/>
    <w:rsid w:val="007529D0"/>
    <w:rsid w:val="007C066F"/>
    <w:rsid w:val="007E1EF8"/>
    <w:rsid w:val="00923C30"/>
    <w:rsid w:val="009854A1"/>
    <w:rsid w:val="00A542FA"/>
    <w:rsid w:val="00AA39B1"/>
    <w:rsid w:val="00B45E28"/>
    <w:rsid w:val="00B63D69"/>
    <w:rsid w:val="00C25EC5"/>
    <w:rsid w:val="00DE47C3"/>
    <w:rsid w:val="00E2116B"/>
    <w:rsid w:val="00F203C8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BE80C-927D-4748-B9D8-11836986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D1D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382D1D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D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03C8"/>
    <w:pPr>
      <w:bidi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Dr.Omar</dc:creator>
  <cp:lastModifiedBy>Abdullah Said</cp:lastModifiedBy>
  <cp:revision>2</cp:revision>
  <cp:lastPrinted>2014-11-13T21:28:00Z</cp:lastPrinted>
  <dcterms:created xsi:type="dcterms:W3CDTF">2015-02-12T10:24:00Z</dcterms:created>
  <dcterms:modified xsi:type="dcterms:W3CDTF">2015-02-12T10:24:00Z</dcterms:modified>
</cp:coreProperties>
</file>